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CellMar>
          <w:left w:w="0" w:type="dxa"/>
          <w:right w:w="0" w:type="dxa"/>
        </w:tblCellMar>
        <w:tblLook w:val="04A0" w:firstRow="1" w:lastRow="0" w:firstColumn="1" w:lastColumn="0" w:noHBand="0" w:noVBand="1"/>
      </w:tblPr>
      <w:tblGrid>
        <w:gridCol w:w="10890"/>
      </w:tblGrid>
      <w:tr w:rsidR="00D66BB4" w:rsidRPr="00D66BB4" w:rsidTr="00D66BB4">
        <w:tc>
          <w:tcPr>
            <w:tcW w:w="10890" w:type="dxa"/>
            <w:vAlign w:val="center"/>
            <w:hideMark/>
          </w:tcPr>
          <w:p w:rsidR="00D66BB4" w:rsidRPr="00D66BB4" w:rsidRDefault="00D66BB4" w:rsidP="00D66BB4">
            <w:pPr>
              <w:spacing w:after="0" w:line="420" w:lineRule="atLeast"/>
              <w:outlineLvl w:val="0"/>
              <w:rPr>
                <w:rFonts w:ascii="Segoe UI" w:eastAsia="Times New Roman" w:hAnsi="Segoe UI" w:cs="Segoe UI"/>
                <w:b/>
                <w:bCs/>
                <w:caps/>
                <w:color w:val="0094F8"/>
                <w:kern w:val="36"/>
                <w:sz w:val="30"/>
                <w:szCs w:val="30"/>
              </w:rPr>
            </w:pPr>
            <w:r w:rsidRPr="00D66BB4">
              <w:rPr>
                <w:rFonts w:ascii="Segoe UI" w:eastAsia="Times New Roman" w:hAnsi="Segoe UI" w:cs="Segoe UI"/>
                <w:b/>
                <w:bCs/>
                <w:caps/>
                <w:color w:val="0094F8"/>
                <w:kern w:val="36"/>
                <w:sz w:val="30"/>
                <w:szCs w:val="30"/>
              </w:rPr>
              <w:t>CÔNG NGHIỆP VIỆT NAM NĂM 2020 VÀ 5 NĂM 2016 - 2020</w:t>
            </w:r>
          </w:p>
          <w:p w:rsidR="00D66BB4" w:rsidRPr="00D66BB4" w:rsidRDefault="00D66BB4" w:rsidP="00D66BB4">
            <w:pPr>
              <w:spacing w:after="0" w:line="450" w:lineRule="atLeast"/>
              <w:jc w:val="both"/>
              <w:rPr>
                <w:rFonts w:ascii="Times New Roman" w:eastAsia="Times New Roman" w:hAnsi="Times New Roman" w:cs="Times New Roman"/>
                <w:b/>
                <w:bCs/>
                <w:sz w:val="21"/>
                <w:szCs w:val="21"/>
              </w:rPr>
            </w:pPr>
            <w:r w:rsidRPr="00D66BB4">
              <w:rPr>
                <w:rFonts w:ascii="Times New Roman" w:eastAsia="Times New Roman" w:hAnsi="Times New Roman" w:cs="Times New Roman"/>
                <w:b/>
                <w:bCs/>
                <w:sz w:val="27"/>
                <w:szCs w:val="27"/>
              </w:rPr>
              <w:t>Với những nỗ lực trong công tác chỉ đạo, điều hành, cùng với sự phối hợp tích cực, hiệu quả của các địa phương và đặc biệt là sự nỗ lực, chủ động, sáng tạo của </w:t>
            </w:r>
            <w:r w:rsidRPr="00D66BB4">
              <w:rPr>
                <w:rFonts w:ascii="Times New Roman" w:eastAsia="Times New Roman" w:hAnsi="Times New Roman" w:cs="Times New Roman"/>
                <w:b/>
                <w:bCs/>
                <w:spacing w:val="-2"/>
                <w:sz w:val="27"/>
                <w:szCs w:val="27"/>
              </w:rPr>
              <w:t>cộng đồng doanh nghiệp, ngành Công nghiệp đã vượt qua khó khăn, thử thách và </w:t>
            </w:r>
            <w:r w:rsidRPr="00D66BB4">
              <w:rPr>
                <w:rFonts w:ascii="Times New Roman" w:eastAsia="Times New Roman" w:hAnsi="Times New Roman" w:cs="Times New Roman"/>
                <w:b/>
                <w:bCs/>
                <w:sz w:val="27"/>
                <w:szCs w:val="27"/>
              </w:rPr>
              <w:t>đạt được những kết quả tích cực, toàn diện trên hầu hết các lĩnh vực, tạo dấu ấn nổi bật trong năm 2020 và 5 năm 2016 - 2020.</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b/>
                <w:bCs/>
                <w:sz w:val="27"/>
                <w:szCs w:val="27"/>
              </w:rPr>
              <w:t>Kết quả về hoạt động sản xuất công nghiệp</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t>Sản xuất công nghiệp gặp nhiều khó khăn nhưng vẫn đạt mức tăng trưởng dương. </w:t>
            </w:r>
            <w:r w:rsidRPr="00D66BB4">
              <w:rPr>
                <w:rFonts w:ascii="Times New Roman" w:eastAsia="Times New Roman" w:hAnsi="Times New Roman" w:cs="Times New Roman"/>
                <w:sz w:val="27"/>
                <w:szCs w:val="27"/>
              </w:rPr>
              <w:t>Trong mức tăng trưởng của toàn nền kinh tế năm 2020, giá trị tăng thêm toàn ngành công nghiệp cả năm tăng 3,36% </w:t>
            </w:r>
            <w:r w:rsidRPr="00D66BB4">
              <w:rPr>
                <w:rFonts w:ascii="Times New Roman" w:eastAsia="Times New Roman" w:hAnsi="Times New Roman" w:cs="Times New Roman"/>
                <w:sz w:val="27"/>
                <w:szCs w:val="27"/>
                <w:shd w:val="clear" w:color="auto" w:fill="FFFFFF"/>
              </w:rPr>
              <w:t>so với năm trước</w:t>
            </w:r>
            <w:r w:rsidRPr="00D66BB4">
              <w:rPr>
                <w:rFonts w:ascii="Times New Roman" w:eastAsia="Times New Roman" w:hAnsi="Times New Roman" w:cs="Times New Roman"/>
                <w:sz w:val="27"/>
                <w:szCs w:val="27"/>
              </w:rPr>
              <w:t>, cao hơn tốc độ tăng trưởng chung của nền kinh tế. (Quý I tăng 5,1%; quý II tăng 1,1%; quý III tăng 2,34%; quý IV tăng 4,80%).</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Tính chung 5 năm, giá trị tăng thêm của ngành công nghiệp (VA công nghiệp theo giá so sánh 2010) tăng từ 810,438 nghìn tỷ đồng năm 2015 lên 1.145,437 nghìn tỷ đồng. Tốc độ tăng trưởng bình quân giá trị gia tăng (VA) trong công nghiệp giai đoạn 2016 - 2020 ước tăng 7,16%, cao hơn nhiều so với mục tiêu đặt ra cho giai đoạn đến năm 2020 là 6,5 - 7,0%/năm.</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t>- Quy mô sản xuất công nghiệp liên tục được mở rộng. Hạ tầng khu công nghiệp, cụm công nghiệp phát triển, góp phần thu hút các nhà đầu tư trong và ngoài nước phát triển sản xuất công nghiệp, nhất là các ngành, lĩnh vực có tiềm năng, lợi thế, có giá trị gia tăng cao. </w:t>
            </w:r>
            <w:r w:rsidRPr="00D66BB4">
              <w:rPr>
                <w:rFonts w:ascii="Times New Roman" w:eastAsia="Times New Roman" w:hAnsi="Times New Roman" w:cs="Times New Roman"/>
                <w:sz w:val="27"/>
                <w:szCs w:val="27"/>
              </w:rPr>
              <w:t>Chỉ số sản xuất công nghiệp IIP của toàn ngành công nghiệp tăng từ 7,4% năm 2016 lên 9,1% năm 2019. Bước sang năm 2020, ngành công nghiệp Việt Nam chịu ảnh hưởng nặng nề từ dịch Covid-19, IIP cả năm 2020 tăng 3,4% so với năm 2019. Trong đó: ngành khai khoáng giảm 7,8%; ngành chế biến, chế tạo tăng 4,9%; ngành sản xuất và phân phối điện tăng 3,1%; ngành cung cấp nước và hoạt động quản lý, xử lý rác thải, nước thải tăng 4,3%.  </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t>- Quá trình tái cơ cấu ngành công nghiệp ngày càng đi vào chiều sâu hơn với xu hướng chuyển dịch khá rõ và rất tích cực theo đúng định hướng tái cơ cấu ngành. </w:t>
            </w:r>
            <w:r w:rsidRPr="00D66BB4">
              <w:rPr>
                <w:rFonts w:ascii="Times New Roman" w:eastAsia="Times New Roman" w:hAnsi="Times New Roman" w:cs="Times New Roman"/>
                <w:sz w:val="27"/>
                <w:szCs w:val="27"/>
              </w:rPr>
              <w:t>Công nghiệp chế biến, chế tạo tiếp tục là động lực tăng trưởng của toàn ngành công nghiệp.</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t>+ </w:t>
            </w:r>
            <w:r w:rsidRPr="00D66BB4">
              <w:rPr>
                <w:rFonts w:ascii="Times New Roman" w:eastAsia="Times New Roman" w:hAnsi="Times New Roman" w:cs="Times New Roman"/>
                <w:sz w:val="27"/>
                <w:szCs w:val="27"/>
              </w:rPr>
              <w:t>Về chuyển dịch cơ cấu ngành công nghiệp trong tổng thể nền kinh tế: Tỷ trọng công nghiệp trong GDP tăng liên tục từ 27,1% năm 2016 lên 28,5% vào năm 2019. Năm 2020 tỷ trọng thấp hơn năm 2019 (đạt 27,54%) do ảnh hưởng của dịch Covid-19. Nếu tính cả xây dựng thì tỷ trọng trong GDP tăng từ 32,7% năm 2016 lên 34,5% năm 2019 và ước đạt 33,7% năm 2020, đạt mục tiêu Kế hoạch (30 - 35%).</w:t>
            </w:r>
            <w:bookmarkStart w:id="0" w:name="_GoBack"/>
            <w:bookmarkEnd w:id="0"/>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lastRenderedPageBreak/>
              <w:t>+ Về chuyển dịch cơ cấu nội ngành công nghiệp: Cơ cấu nội ngành công nghiệp chuyển biến tích cực theo hướng tăng tỷ trọng của ngành công nghiệp chế biến chế tạo, giảm dần ngành công nghiệp khai khoáng và từ các ngành thâm dụng lao động sang các ngành công nghiệp công nghệ cao. Cụ thể:</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Tỷ trọng nhóm ngành khai khoáng trong GDP liên tục giảm (từ 9,1% năm 2010 xuống còn khoảng 8,1% năm 2016 và 6,72% năm 2019 và ước chỉ còn 5,55% năm 2020).</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Ngành công nghiệp chế biến, chế tạo đã trở thành động lực tăng trưởng chính của toàn ngành công nghiệp. Năm 2020, </w:t>
            </w:r>
            <w:r w:rsidRPr="00D66BB4">
              <w:rPr>
                <w:rFonts w:ascii="Times New Roman" w:eastAsia="Times New Roman" w:hAnsi="Times New Roman" w:cs="Times New Roman"/>
                <w:sz w:val="27"/>
                <w:szCs w:val="27"/>
                <w:shd w:val="clear" w:color="auto" w:fill="FFFFFF"/>
              </w:rPr>
              <w:t>công nghiệp chế biến, chế tạo đóng vai trò chủ chốt dẫn dắt tăng trưởng của nền kinh tế với mức tăng 5,82% </w:t>
            </w:r>
            <w:r w:rsidRPr="00D66BB4">
              <w:rPr>
                <w:rFonts w:ascii="Times New Roman" w:eastAsia="Times New Roman" w:hAnsi="Times New Roman" w:cs="Times New Roman"/>
                <w:sz w:val="27"/>
                <w:szCs w:val="27"/>
              </w:rPr>
              <w:t>(quý I tăng 7,12%; quý II tăng 3,38%; quý III tăng 3,86%; quý IV tăng 8,63%)</w:t>
            </w:r>
            <w:r w:rsidRPr="00D66BB4">
              <w:rPr>
                <w:rFonts w:ascii="Times New Roman" w:eastAsia="Times New Roman" w:hAnsi="Times New Roman" w:cs="Times New Roman"/>
                <w:sz w:val="27"/>
                <w:szCs w:val="27"/>
                <w:shd w:val="clear" w:color="auto" w:fill="FFFFFF"/>
              </w:rPr>
              <w:t>. X</w:t>
            </w:r>
            <w:r w:rsidRPr="00D66BB4">
              <w:rPr>
                <w:rFonts w:ascii="Times New Roman" w:eastAsia="Times New Roman" w:hAnsi="Times New Roman" w:cs="Times New Roman"/>
                <w:sz w:val="27"/>
                <w:szCs w:val="27"/>
              </w:rPr>
              <w:t>ét cả giai đoạn 2016 - 2020, nhóm ngành này liên tục được mở rộng và chiếm tỷ trọng cao nhất trong các ngành công nghiệp với đóng góp trong GDP tăng liên tục qua các năm (tăng từ 14,27% năm 2016 lên 16,48% vào năm 2019 và ước đạt 16,7% vào năm 2020).</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Nhóm ngành công nghiệp chế biến chế tạo phát triển tích cực phù hợp với định hướng tái cơ cấu ngành, các ngành công nghiệp chủ lực (như điện tử, dệt may, da giày...) tăng trưởng ở mức cao, là yếu tố chính đóng góp vào phát triển của ngành công nghiệp Việt Nam; tạo thêm nhiều việc làm cho xã hội (bình quân mỗi năm tạo thêm khoảng  300.000 việc làm), nâng thứ hạng về năng lực cạnh tranh của công nghiệp Việt Nam.</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w:t>
            </w:r>
            <w:r w:rsidRPr="00D66BB4">
              <w:rPr>
                <w:rFonts w:ascii="Times New Roman" w:eastAsia="Times New Roman" w:hAnsi="Times New Roman" w:cs="Times New Roman"/>
                <w:i/>
                <w:iCs/>
                <w:sz w:val="27"/>
                <w:szCs w:val="27"/>
              </w:rPr>
              <w:t>Công nghiệp hỗ trợ </w:t>
            </w:r>
            <w:r w:rsidRPr="00D66BB4">
              <w:rPr>
                <w:rFonts w:ascii="Times New Roman" w:eastAsia="Times New Roman" w:hAnsi="Times New Roman" w:cs="Times New Roman"/>
                <w:sz w:val="27"/>
                <w:szCs w:val="27"/>
              </w:rPr>
              <w:t>được quan tâm, thúc đẩy tăng cường liên kết, nâng cao sự vững chắc trong chuỗi cung ứng cho những ngành sản xuất chủ lực của Việt Nam như dệt may, da giày, điện tử, công nghiệp chế biến nông sản… </w:t>
            </w:r>
            <w:r w:rsidRPr="00D66BB4">
              <w:rPr>
                <w:rFonts w:ascii="Times New Roman" w:eastAsia="Times New Roman" w:hAnsi="Times New Roman" w:cs="Times New Roman"/>
                <w:spacing w:val="-4"/>
                <w:sz w:val="27"/>
                <w:szCs w:val="27"/>
              </w:rPr>
              <w:t>Bước đầu hình thành hệ sinh thái công nghiệp hỗ trợ và gia tăng tỷ lệ nội địa hóa; </w:t>
            </w:r>
            <w:r w:rsidRPr="00D66BB4">
              <w:rPr>
                <w:rFonts w:ascii="Times New Roman" w:eastAsia="Times New Roman" w:hAnsi="Times New Roman" w:cs="Times New Roman"/>
                <w:sz w:val="27"/>
                <w:szCs w:val="27"/>
              </w:rPr>
              <w:t>Cơ cấu sản phẩm có sự dịch chuyển tích cực khi </w:t>
            </w:r>
            <w:r w:rsidRPr="00D66BB4">
              <w:rPr>
                <w:rFonts w:ascii="Times New Roman" w:eastAsia="Times New Roman" w:hAnsi="Times New Roman" w:cs="Times New Roman"/>
                <w:spacing w:val="-4"/>
                <w:sz w:val="27"/>
                <w:szCs w:val="27"/>
              </w:rPr>
              <w:t>tỷ trọng sản phẩm công nghệ cao và vừa của Việt Nam đã tăng lên đáng kể, tạo cơ sở hình thành một số tập đoàn công nghiệp tư nhân có quy mô lớn, có khả năng cạnh tranh trên thị trường quốc tế; điển hình là công nghiệp ô tô Việt Nam, lần đầu tiên khẳng định sự tự chủ trong đầu tư, sản xuất, làm chủ công nghệ và tham gia chuỗi giá trị toàn cầu. </w:t>
            </w:r>
            <w:r w:rsidRPr="00D66BB4">
              <w:rPr>
                <w:rFonts w:ascii="Times New Roman" w:eastAsia="Times New Roman" w:hAnsi="Times New Roman" w:cs="Times New Roman"/>
                <w:sz w:val="27"/>
                <w:szCs w:val="27"/>
              </w:rPr>
              <w:t>Tỷ trọng hàng hóa xuất khẩu qua chế biến trong tổng giá trị xuất khẩu tăng từ 65% năm 2016 lên 85% năm 2020; Tỷ trọng giá trị xuất khẩu sản phẩm công nghệ cao tăng từ 44,3% năm 2016 lên 49,8% năm 2020.</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w:t>
            </w:r>
            <w:r w:rsidRPr="00D66BB4">
              <w:rPr>
                <w:rFonts w:ascii="Times New Roman" w:eastAsia="Times New Roman" w:hAnsi="Times New Roman" w:cs="Times New Roman"/>
                <w:i/>
                <w:iCs/>
                <w:sz w:val="27"/>
                <w:szCs w:val="27"/>
              </w:rPr>
              <w:t>Ngành điện </w:t>
            </w:r>
            <w:r w:rsidRPr="00D66BB4">
              <w:rPr>
                <w:rFonts w:ascii="Times New Roman" w:eastAsia="Times New Roman" w:hAnsi="Times New Roman" w:cs="Times New Roman"/>
                <w:sz w:val="27"/>
                <w:szCs w:val="27"/>
              </w:rPr>
              <w:t>đã đảm bảo tốt cân đối điện phục vụ cho phát triển kinh tế - xã hội của đất nước, an ninh quốc phòng và sinh hoạt của người dân. Năm 2020, tổng sản lượng điện sản xuất và nhập khẩu cả năm ước đạt gần 237,561 tỷ kWh, tăng 3,43% so với năm 2019. Tính chung cả giai đoạn 2016 -2020, tổng sản lượng điện sản xuất và nhập khẩu ước đạt 1.049,3 tỷ kWh, tăng trưởng trung bình trong cả giai đoạn là 8%.</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lastRenderedPageBreak/>
              <w:t>Chương trình phát triển lưới điện thông minh được triển khai rộng rãi đã giúp nâng cao chất lượng điện năng, độ tin cậy cung cấp điện ngày càng tốt hơn, tỷ lệ điện năng tổn thất do truyền tải và phân phối giảm từ 7,94% năm 2015 xuống còn xấp xỉ 6,5% năm 2020.</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Hạ tầng cung cấp điện được đầu tư khá đồng bộ, đáp ứng nhu cầu điện tăng nhanh, nhiều công trình lớn (trên 1.000 MW) được hoàn thành</w:t>
            </w:r>
            <w:r w:rsidRPr="00D66BB4">
              <w:rPr>
                <w:rFonts w:ascii="Times New Roman" w:eastAsia="Times New Roman" w:hAnsi="Times New Roman" w:cs="Times New Roman"/>
                <w:i/>
                <w:iCs/>
                <w:sz w:val="27"/>
                <w:szCs w:val="27"/>
              </w:rPr>
              <w:t>.</w:t>
            </w:r>
            <w:r w:rsidRPr="00D66BB4">
              <w:rPr>
                <w:rFonts w:ascii="Times New Roman" w:eastAsia="Times New Roman" w:hAnsi="Times New Roman" w:cs="Times New Roman"/>
                <w:b/>
                <w:bCs/>
                <w:i/>
                <w:iCs/>
                <w:sz w:val="27"/>
                <w:szCs w:val="27"/>
              </w:rPr>
              <w:t> </w:t>
            </w:r>
            <w:r w:rsidRPr="00D66BB4">
              <w:rPr>
                <w:rFonts w:ascii="Times New Roman" w:eastAsia="Times New Roman" w:hAnsi="Times New Roman" w:cs="Times New Roman"/>
                <w:sz w:val="27"/>
                <w:szCs w:val="27"/>
              </w:rPr>
              <w:t>Tính đến hết năm 2020, tổng công suất đặt của hệ thống điện quốc gia đạt 54.677 MW, tăng 1,32 lần so với năm 2016.  </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Năng lượng tái tạo được quan tâm phát triển, tới cuối năm 2020, tổng công suất các nguồn điện từ năng lượng tái tạo của Việt Nam đã đạt khoảng 6.000 MW, trong đó có khoảng 6.364 MWp điện mặt trời (tương ứng khoảng 5.290 MW), khoảng 500 MW điện gió và 325 MW công suất điện sinh khối; tổng công suất của điện gió, điện mặt trời và điện sinh khối đã chiếm xấp xỉ 10% tổng công suất đặt của hệ thống điện; sản lượng điện năng cung cấp từ các nguồn năng lượng tái tạo đã tăng dần từ mức không đáng kể là 320 triệu kWh, chiếm khoảng 0,41% toàn hệ thống năm 2016 lên khoảng 8 tỷ kWh, chiếm 2,53% toàn hệ thống vào năm 2020.</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w:t>
            </w:r>
            <w:r w:rsidRPr="00D66BB4">
              <w:rPr>
                <w:rFonts w:ascii="Times New Roman" w:eastAsia="Times New Roman" w:hAnsi="Times New Roman" w:cs="Times New Roman"/>
                <w:i/>
                <w:iCs/>
                <w:sz w:val="27"/>
                <w:szCs w:val="27"/>
              </w:rPr>
              <w:t>Ngành Dầu khí </w:t>
            </w:r>
            <w:r w:rsidRPr="00D66BB4">
              <w:rPr>
                <w:rFonts w:ascii="Times New Roman" w:eastAsia="Times New Roman" w:hAnsi="Times New Roman" w:cs="Times New Roman"/>
                <w:sz w:val="27"/>
                <w:szCs w:val="27"/>
              </w:rPr>
              <w:t>tiếp tục đóng góp đáng kể cho ngân sách nhà nước, bảo đảm an ninh năng lượng quốc gia.</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Tác động kép từ dịch Covid-19 và giá dầu giảm sâu trong năm 2020 đã ảnh hưởng nhiều đến hoạt động sản xuất kinh doanh và đầu tư của ngành dầu khí nói chung và PVN nói riêng, trong đó các lĩnh vực: tìm kiếm thăm dò và khai thác dầu khí; chế biến dầu khí và phân phối sản phẩm xăng dầu; dịch vụ dầu khí, chịu ảnh hưởng trực tiếp và nặng nề nhất. Tuy nhiên, ngành đã đảm bảo hoàn thành kế hoạch sản xuất kinh doanh đặt ra. Tổng sản lượng khai thác quy dầu dự kiến cả năm đạt 20,5 triệu tấn, vượt 0,7% kế hoạch năm (kế hoạch cả năm là đạt 10 -15 triệu tấn), trong đó: Sản lượng khai thác dầu thô cả năm đạt 11,47 triệu tấn, vượt 8% kế hoạch năm; Sản lượng khai thác khí đạt 9,03 tỷ m</w:t>
            </w:r>
            <w:r w:rsidRPr="00D66BB4">
              <w:rPr>
                <w:rFonts w:ascii="Times New Roman" w:eastAsia="Times New Roman" w:hAnsi="Times New Roman" w:cs="Times New Roman"/>
                <w:sz w:val="27"/>
                <w:szCs w:val="27"/>
                <w:vertAlign w:val="superscript"/>
              </w:rPr>
              <w:t>3</w:t>
            </w:r>
            <w:r w:rsidRPr="00D66BB4">
              <w:rPr>
                <w:rFonts w:ascii="Times New Roman" w:eastAsia="Times New Roman" w:hAnsi="Times New Roman" w:cs="Times New Roman"/>
                <w:sz w:val="27"/>
                <w:szCs w:val="27"/>
              </w:rPr>
              <w:t>, bằng 92,7% kế hoạch năm.</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Tính chung cả giai đoạn, gia tăng trữ lượng dầu khí 5 năm 2016 - 2020 ước đạt 56,26 - 61,26 triệu tấn quy dầu, trung bình đạt 11,2 - 12,4 triệu tấn quy dầu/năm, bằng 100% kế hoạch 5 năm 2016 - 2020 (10 - 30 triệu tấn quy dầu/năm).  Tổng sản lượng khai thác dầu khí 5 năm 2016 - 2020 ước đạt 120,87 triệu tấn quy dầu, bằng 100% so với kế hoạch 5 năm.</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w:t>
            </w:r>
            <w:r w:rsidRPr="00D66BB4">
              <w:rPr>
                <w:rFonts w:ascii="Times New Roman" w:eastAsia="Times New Roman" w:hAnsi="Times New Roman" w:cs="Times New Roman"/>
                <w:i/>
                <w:iCs/>
                <w:sz w:val="27"/>
                <w:szCs w:val="27"/>
              </w:rPr>
              <w:t>Ngành Than</w:t>
            </w:r>
            <w:r w:rsidRPr="00D66BB4">
              <w:rPr>
                <w:rFonts w:ascii="Times New Roman" w:eastAsia="Times New Roman" w:hAnsi="Times New Roman" w:cs="Times New Roman"/>
                <w:sz w:val="27"/>
                <w:szCs w:val="27"/>
              </w:rPr>
              <w:t xml:space="preserve"> đã cơ bản hoàn thành mục tiêu tổng quát là xây dựng, trở thành ngành kinh tế - kỹ thuật quan trọng, đồng bộ từ khâu thăm dò, khai thác, vận chuyển, chế biến, tiêu thụ sản phẩm; cơ bản hoàn thành các mục tiêu quy hoạch, kế hoạch đề ra. Than sản xuất trong nước chủ yếu được cân đối cho các ngành kinh tế trong nước (đặc biệt là cung cấp đủ than cho sản xuất điện) để phục vụ phát triển </w:t>
            </w:r>
            <w:r w:rsidRPr="00D66BB4">
              <w:rPr>
                <w:rFonts w:ascii="Times New Roman" w:eastAsia="Times New Roman" w:hAnsi="Times New Roman" w:cs="Times New Roman"/>
                <w:sz w:val="27"/>
                <w:szCs w:val="27"/>
              </w:rPr>
              <w:lastRenderedPageBreak/>
              <w:t>kinh tế - xã hội; ngoài ra, còn dành một phần hợp lý để xuất khẩu nhằm giúp ngành Than khai thác được các nguồn tín dụng dài hạn nước ngoài, có thêm nguồn ngoại tệ để phục vụ nhập khẩu vật tư, thiết bị phục vụ sản xuất. Tính chung cả giai đoạn 2016 - 2020: Sản xuất than sạch tăng từ 38,7 triệu tấn vào năm 2016 lên khoảng 48,17 triệu tấn vào năm 2020; tiêu thụ than sản xuất trong nước tăng từ 41,1 triệu tấn vào năm 2016 lên trên 47,2 triệu tấn vào năm 2020.</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w:t>
            </w:r>
            <w:r w:rsidRPr="00D66BB4">
              <w:rPr>
                <w:rFonts w:ascii="Times New Roman" w:eastAsia="Times New Roman" w:hAnsi="Times New Roman" w:cs="Times New Roman"/>
                <w:i/>
                <w:iCs/>
                <w:sz w:val="27"/>
                <w:szCs w:val="27"/>
              </w:rPr>
              <w:t>Ngành dệt may</w:t>
            </w:r>
            <w:r w:rsidRPr="00D66BB4">
              <w:rPr>
                <w:rFonts w:ascii="Times New Roman" w:eastAsia="Times New Roman" w:hAnsi="Times New Roman" w:cs="Times New Roman"/>
                <w:sz w:val="27"/>
                <w:szCs w:val="27"/>
              </w:rPr>
              <w:t> đã nhanh chóng thích nghi với các điều kiện thị trường, đảm bảo duy trì sản xuất, kịp thời chuyển đổi cơ cấu mặt hàng, bảo đảm việc làm, thu nhập ổn định cho hàng triệu người lao động. Năm 2020, dưới tác động tiêu cực của dịch Covid-19 từ cả phía cung và phía cầu, dệt may là một trong những ngành chịu thiệt hại trực tiếp lớn nhất cùng với ngành du lịch, hàng không, da giày. Với sự sụt giảm nhu cầu tiêu thụ của thị trường Mỹ và châu Âu trong bối cảnh thực hiện các biện pháp phòng, chống dịch bệnh cũng đã tác động rất lớn đến tổng kim ngạch xuất khẩu dệt may của Việt Nam (thị trường Mỹ và châu Âu lần lượt chiếm khoảng 45% và 18% kim ngạch xuất khẩu hàng dệt may). Kim ngạch xuất khẩu của toàn ngành dệt may năm 2020 ước đạt 35,27 tỷ USD, giảm 9,29% so với năm 2019. Tuy nhiên, đây vẫn là mức rất tích cực trong bối cảnh tổng cầu dệt may thế giới giảm 25%.</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Trong giai đoạn vừa qua, ngành dệt may Việt Nam đã có bước phát triển vượt bậc, tận dụng tốt các Hiệp định thương mại tự do (FTA) đã ký kết như: FTA Việt Nam - Hàn Quốc, Việt Nam - EAEU, CPTPP, EVFTA… Năm 2016, kim ngạch xuất khẩu dệt may Việt Nam đạt 28,1 tỷ USD, nhưng đến năm 2019 đã đạt 38,9 tỷ USD, tăng trưởng bình quân đạt 9,55%. Đặc biệt, giá trị xuất siêu có sự tăng nhanh: năm 2016 đạt 11,1 tỷ USD, năm 2019 đạt 16,9 tỷ USD. Kim ngạch xuất khẩu của dệt may Việt Nam từ chỗ năm 2016 đứng thứ 4 thế giới, sau Trung Quốc, Bangladesh, Ấn Độ thì đến năm 2019 đã vượt lên trên Ấn Độ, đứng thứ 3 thế giới.</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b/>
                <w:bCs/>
                <w:i/>
                <w:iCs/>
                <w:sz w:val="27"/>
                <w:szCs w:val="27"/>
              </w:rPr>
              <w:t>- </w:t>
            </w:r>
            <w:r w:rsidRPr="00D66BB4">
              <w:rPr>
                <w:rFonts w:ascii="Times New Roman" w:eastAsia="Times New Roman" w:hAnsi="Times New Roman" w:cs="Times New Roman"/>
                <w:i/>
                <w:iCs/>
                <w:sz w:val="27"/>
                <w:szCs w:val="27"/>
              </w:rPr>
              <w:t>Ngành da - giày: </w:t>
            </w:r>
            <w:r w:rsidRPr="00D66BB4">
              <w:rPr>
                <w:rFonts w:ascii="Times New Roman" w:eastAsia="Times New Roman" w:hAnsi="Times New Roman" w:cs="Times New Roman"/>
                <w:sz w:val="27"/>
                <w:szCs w:val="27"/>
              </w:rPr>
              <w:t>Tương tự như đối với ngành dệt may, trong năm 2020, ngành da - giày cũng phải đối mặt với nhiều khó khăn do tác động của dịch Covid-19, nhất là khi các nước là thị trường xuất khẩu lớn của ngành da giầy như Mỹ và EU (thị trường Mỹ và châu Âu lần lượt chiếm khoảng 36% và 27% kim ngạch xuất khẩu giày dép của Việt Nam) tình hình dịch bệnh vẫn còn diễn biến phức tạp. Nếu như năm 2019, xuất khẩu giày dép, túi xách Việt Nam đạt 22 tỷ USD (tăng 12% so với năm 2018), thì năm 2020 dự kiến kim ngạch xuất khẩu ngành da giày đạt khoảng 20 tỷ USD, giảm khoảng 2 tỷ USD so với 2019 do ảnh hưởng của đại dịch Covid-19.</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b/>
                <w:bCs/>
                <w:sz w:val="27"/>
                <w:szCs w:val="27"/>
              </w:rPr>
              <w:t>Một số hạn chế, tồn tại của ngành</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lastRenderedPageBreak/>
              <w:t>- Phát triển công nghiệp nhìn chung vẫn chưa đáp ứng được yêu cầu công nghiệp hóa, hiện đại hóa</w:t>
            </w:r>
            <w:r w:rsidRPr="00D66BB4">
              <w:rPr>
                <w:rFonts w:ascii="Times New Roman" w:eastAsia="Times New Roman" w:hAnsi="Times New Roman" w:cs="Times New Roman"/>
                <w:sz w:val="27"/>
                <w:szCs w:val="27"/>
              </w:rPr>
              <w:t>, chưa có ngành công nghiệp mũi nhọn đóng vai trò dẫn dắt và có sức cạnh tranh quốc tế cao. Sản xuất công nghiệp chủ yếu là gia công, lắp ráp, giá trị gia tăng thấp. Năng lực sản xuất công nghiệp nội tại của nền kinh tế còn hạn chế và phụ thuộc vào các doanh nghiệp FDI; sản xuất trong nước chưa đáp ứng nhu cầu dẫn đến nhập khẩu tiếp tục gia tăng, đặc biệt là nhập khẩu phục vụ sản xuất cho xuất khẩu. Việt Nam vẫn phải tiếp tục nhập khẩu lớn máy móc thiết bị, phụ tùng và nguyên phụ liệu cho sản xuất các ngành công nghiệp trong nước (chiếm tỷ trọng từ 40 - 50% trong tổng kim ngạch nhập khẩu qua các thời kỳ).</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t>- Mức độ liên kết và hợp tác kinh doanh giữa các doanh nghiệp trong cùng một ngành và giữa các ngành còn hạn chế</w:t>
            </w:r>
            <w:r w:rsidRPr="00D66BB4">
              <w:rPr>
                <w:rFonts w:ascii="Times New Roman" w:eastAsia="Times New Roman" w:hAnsi="Times New Roman" w:cs="Times New Roman"/>
                <w:sz w:val="27"/>
                <w:szCs w:val="27"/>
              </w:rPr>
              <w:t>, chưa tạo được nhiều mối liên kết phát triển giữa các ngành theo hướng hợp tác chuyên môn hoá phù hợp với cơ chế thị trường. Nhiều doanh nghiệp đầu tư khép kín, chưa phối hợp năng lực sẵn có với các doanh nghiệp khác để tăng nội lực cho ngành và đạt hiệu quả sản xuất kinh doanh cao hơn. Điều này một mặt làm tăng chi phí đầu tư cho sản xuất, mặt khác gây lãng phí năng lực chung của toàn ngành, tạo ra những cạnh tranh không đáng có giữa các doanh nghiệp trong ngành.</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t>- Vốn đầu tư vào khu vực công nghiệp đa số tập trung vào các ngành có thời gian hoàn vốn ngắn</w:t>
            </w:r>
            <w:r w:rsidRPr="00D66BB4">
              <w:rPr>
                <w:rFonts w:ascii="Times New Roman" w:eastAsia="Times New Roman" w:hAnsi="Times New Roman" w:cs="Times New Roman"/>
                <w:sz w:val="27"/>
                <w:szCs w:val="27"/>
              </w:rPr>
              <w:t> như công nghiệp sản xuất hàng tiêu dùng và chế biến thực phẩm, số dự án đầu tư vào công nghệ cao chưa nhiều.</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w:t>
            </w:r>
            <w:r w:rsidRPr="00D66BB4">
              <w:rPr>
                <w:rFonts w:ascii="Times New Roman" w:eastAsia="Times New Roman" w:hAnsi="Times New Roman" w:cs="Times New Roman"/>
                <w:i/>
                <w:iCs/>
                <w:sz w:val="27"/>
                <w:szCs w:val="27"/>
              </w:rPr>
              <w:t>Công nghiệp hỗ trợ phát triển chậm, chưa đáp ứng được nhu cầu</w:t>
            </w:r>
            <w:r w:rsidRPr="00D66BB4">
              <w:rPr>
                <w:rFonts w:ascii="Times New Roman" w:eastAsia="Times New Roman" w:hAnsi="Times New Roman" w:cs="Times New Roman"/>
                <w:sz w:val="27"/>
                <w:szCs w:val="27"/>
              </w:rPr>
              <w:t> của các ngành công nghiệp xuất khẩu trong nước dẫn đến tỷ lệ nội địa hóa trong các ngành công nghiệp đạt thấp, giá trị gia tăng tạo ra trong nước không cao. Ví dụ như ngành cơ khí mới chỉ đáp ứng khoảng hơn 32% nhu cầu sản phẩm cơ khí, chất lượng sản phẩm chưa tốt, giá thành cao, tính cạnh tranh của sản phẩm còn kém, gần như chưa có sản phẩm công nghiệp chủ lực trong ngành cơ khí.</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w:t>
            </w:r>
            <w:r w:rsidRPr="00D66BB4">
              <w:rPr>
                <w:rFonts w:ascii="Times New Roman" w:eastAsia="Times New Roman" w:hAnsi="Times New Roman" w:cs="Times New Roman"/>
                <w:i/>
                <w:iCs/>
                <w:sz w:val="27"/>
                <w:szCs w:val="27"/>
              </w:rPr>
              <w:t>Việc lập và thực hiện quy hoạch điện vẫn còn bất cập</w:t>
            </w:r>
            <w:r w:rsidRPr="00D66BB4">
              <w:rPr>
                <w:rFonts w:ascii="Times New Roman" w:eastAsia="Times New Roman" w:hAnsi="Times New Roman" w:cs="Times New Roman"/>
                <w:sz w:val="27"/>
                <w:szCs w:val="27"/>
              </w:rPr>
              <w:t>. Nhiều dự án nguồn điện chậm tiến độ so với quy hoạch làm ảnh hưởng lớn tới việc đảm bảo cung ứng điện. Tổng công suất các nguồn điện truyền thống có thể đưa vào vận hành trong giai đoạn 2016 - 2020 chỉ đạt gần 60% so với quy hoạch. Xảy ra tình trạng mất cân đối nguồn cung điện giữa các vùng miền. Ở miền Bắc và miền Trung thừa cung, trong khi đó, ở miền Nam nguồn cung chỉ đáp ứng được khoảng 80% nhu cầu.</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xml:space="preserve">- Nguồn điện từ năng lượng tái tạo phát triển nhanh nhưng hệ thống truyền tải điện để giải tỏa công suất phát triển chưa đồng bộ. Một số dự án điện (chủ yếu điện mặt trời) trên địa bàn tỉnh Ninh Thuận và Bình Thuận, với tổng công suất khoảng 690 MW đã phải hạn chế một phần công suất phát. Đến </w:t>
            </w:r>
            <w:r w:rsidRPr="00D66BB4">
              <w:rPr>
                <w:rFonts w:ascii="Times New Roman" w:eastAsia="Times New Roman" w:hAnsi="Times New Roman" w:cs="Times New Roman"/>
                <w:sz w:val="27"/>
                <w:szCs w:val="27"/>
              </w:rPr>
              <w:lastRenderedPageBreak/>
              <w:t>cuối năm 2020, khi các công trình lưới điện truyền tải đang thi công tại khu vực này được đưa vào vận hành thì tình trạng này mới được giải quyết.</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Việc đảm bảo nhiên liệu cho phát điện phụ thuộc nhiều vào nhập khẩu. Ước tính cần nhập khoảng 60 triệu tấn than và 12 triệu tấn LNG vào năm 2030. Việc nhập khẩu năng lượng sơ cấp với khối lượng lớn nếu không có chiến lược phù hợp có thể tiềm ẩn rủi ro cho an ninh năng lượng.</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sz w:val="27"/>
                <w:szCs w:val="27"/>
              </w:rPr>
              <w:t>- Huy động vốn cho các dự án điện gặp nhiều khó khăn. Trung bình mỗi năm nhu cầu vốn đầu tư cho nguồn và lưới điện khoảng 8 - 10 tỷ USD. Nhiều tập đoàn nhà nước gặp khó khăn về tài chính nên việc huy động vốn cho các dự án của các doanh nghiệp này cũng gặp khó khăn. Các dự án nguồn điện do tư nhân và nhà đầu tư nước ngoài cũng gặp khó khăn do yêu cầu cao từ các bên cho vay (bảo lãnh Chính phủ, chuyển đổi ngoại tệ …)./.</w:t>
            </w:r>
          </w:p>
          <w:p w:rsidR="00D66BB4" w:rsidRPr="00D66BB4" w:rsidRDefault="00D66BB4" w:rsidP="00D66BB4">
            <w:pPr>
              <w:spacing w:after="0" w:line="450" w:lineRule="atLeast"/>
              <w:jc w:val="both"/>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t>Nguồn: Báo cáo tổng kết Bộ Công Thương</w:t>
            </w:r>
          </w:p>
          <w:p w:rsidR="00D66BB4" w:rsidRPr="00D66BB4" w:rsidRDefault="00D66BB4" w:rsidP="00D66BB4">
            <w:pPr>
              <w:spacing w:after="0" w:line="450" w:lineRule="atLeast"/>
              <w:jc w:val="right"/>
              <w:rPr>
                <w:rFonts w:ascii="Times New Roman" w:eastAsia="Times New Roman" w:hAnsi="Times New Roman" w:cs="Times New Roman"/>
                <w:sz w:val="21"/>
                <w:szCs w:val="21"/>
              </w:rPr>
            </w:pPr>
            <w:r w:rsidRPr="00D66BB4">
              <w:rPr>
                <w:rFonts w:ascii="Times New Roman" w:eastAsia="Times New Roman" w:hAnsi="Times New Roman" w:cs="Times New Roman"/>
                <w:b/>
                <w:bCs/>
                <w:i/>
                <w:iCs/>
                <w:sz w:val="27"/>
                <w:szCs w:val="27"/>
              </w:rPr>
              <w:t>Đỗ Thị Bích Thủy</w:t>
            </w:r>
          </w:p>
          <w:p w:rsidR="00D66BB4" w:rsidRPr="00D66BB4" w:rsidRDefault="00D66BB4" w:rsidP="00D66BB4">
            <w:pPr>
              <w:spacing w:after="0" w:line="450" w:lineRule="atLeast"/>
              <w:jc w:val="right"/>
              <w:rPr>
                <w:rFonts w:ascii="Times New Roman" w:eastAsia="Times New Roman" w:hAnsi="Times New Roman" w:cs="Times New Roman"/>
                <w:sz w:val="21"/>
                <w:szCs w:val="21"/>
              </w:rPr>
            </w:pPr>
            <w:r w:rsidRPr="00D66BB4">
              <w:rPr>
                <w:rFonts w:ascii="Times New Roman" w:eastAsia="Times New Roman" w:hAnsi="Times New Roman" w:cs="Times New Roman"/>
                <w:i/>
                <w:iCs/>
                <w:sz w:val="27"/>
                <w:szCs w:val="27"/>
              </w:rPr>
              <w:t>Phòng Thông tin, Thư viện và Xúc tiến Thương mại</w:t>
            </w:r>
            <w:r w:rsidRPr="00D66BB4">
              <w:rPr>
                <w:rFonts w:ascii="Times New Roman" w:eastAsia="Times New Roman" w:hAnsi="Times New Roman" w:cs="Times New Roman"/>
                <w:i/>
                <w:iCs/>
                <w:sz w:val="27"/>
                <w:szCs w:val="27"/>
              </w:rPr>
              <w:br w:type="textWrapping" w:clear="all"/>
            </w:r>
          </w:p>
        </w:tc>
      </w:tr>
    </w:tbl>
    <w:p w:rsidR="008A47D0" w:rsidRDefault="00D16868"/>
    <w:sectPr w:rsidR="008A47D0" w:rsidSect="00D66BB4">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B4"/>
    <w:rsid w:val="006F5F80"/>
    <w:rsid w:val="00720FBF"/>
    <w:rsid w:val="00D16868"/>
    <w:rsid w:val="00D6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029F4-9B77-439C-A24F-5D176E18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6B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B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66B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BB4"/>
    <w:rPr>
      <w:b/>
      <w:bCs/>
    </w:rPr>
  </w:style>
  <w:style w:type="character" w:styleId="Emphasis">
    <w:name w:val="Emphasis"/>
    <w:basedOn w:val="DefaultParagraphFont"/>
    <w:uiPriority w:val="20"/>
    <w:qFormat/>
    <w:rsid w:val="00D66BB4"/>
    <w:rPr>
      <w:i/>
      <w:iCs/>
    </w:rPr>
  </w:style>
  <w:style w:type="character" w:styleId="Hyperlink">
    <w:name w:val="Hyperlink"/>
    <w:basedOn w:val="DefaultParagraphFont"/>
    <w:uiPriority w:val="99"/>
    <w:semiHidden/>
    <w:unhideWhenUsed/>
    <w:rsid w:val="00D66B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4373">
      <w:bodyDiv w:val="1"/>
      <w:marLeft w:val="0"/>
      <w:marRight w:val="0"/>
      <w:marTop w:val="0"/>
      <w:marBottom w:val="0"/>
      <w:divBdr>
        <w:top w:val="none" w:sz="0" w:space="0" w:color="auto"/>
        <w:left w:val="none" w:sz="0" w:space="0" w:color="auto"/>
        <w:bottom w:val="none" w:sz="0" w:space="0" w:color="auto"/>
        <w:right w:val="none" w:sz="0" w:space="0" w:color="auto"/>
      </w:divBdr>
      <w:divsChild>
        <w:div w:id="1961648581">
          <w:marLeft w:val="0"/>
          <w:marRight w:val="0"/>
          <w:marTop w:val="0"/>
          <w:marBottom w:val="0"/>
          <w:divBdr>
            <w:top w:val="none" w:sz="0" w:space="0" w:color="auto"/>
            <w:left w:val="none" w:sz="0" w:space="0" w:color="auto"/>
            <w:bottom w:val="none" w:sz="0" w:space="0" w:color="auto"/>
            <w:right w:val="none" w:sz="0" w:space="0" w:color="auto"/>
          </w:divBdr>
          <w:divsChild>
            <w:div w:id="2102791445">
              <w:marLeft w:val="0"/>
              <w:marRight w:val="0"/>
              <w:marTop w:val="0"/>
              <w:marBottom w:val="0"/>
              <w:divBdr>
                <w:top w:val="none" w:sz="0" w:space="0" w:color="auto"/>
                <w:left w:val="none" w:sz="0" w:space="0" w:color="auto"/>
                <w:bottom w:val="none" w:sz="0" w:space="0" w:color="auto"/>
                <w:right w:val="none" w:sz="0" w:space="0" w:color="auto"/>
              </w:divBdr>
              <w:divsChild>
                <w:div w:id="134686362">
                  <w:marLeft w:val="0"/>
                  <w:marRight w:val="0"/>
                  <w:marTop w:val="0"/>
                  <w:marBottom w:val="0"/>
                  <w:divBdr>
                    <w:top w:val="none" w:sz="0" w:space="0" w:color="auto"/>
                    <w:left w:val="none" w:sz="0" w:space="0" w:color="auto"/>
                    <w:bottom w:val="none" w:sz="0" w:space="0" w:color="auto"/>
                    <w:right w:val="none" w:sz="0" w:space="0" w:color="auto"/>
                  </w:divBdr>
                  <w:divsChild>
                    <w:div w:id="1439637608">
                      <w:marLeft w:val="0"/>
                      <w:marRight w:val="0"/>
                      <w:marTop w:val="0"/>
                      <w:marBottom w:val="0"/>
                      <w:divBdr>
                        <w:top w:val="none" w:sz="0" w:space="0" w:color="auto"/>
                        <w:left w:val="none" w:sz="0" w:space="0" w:color="auto"/>
                        <w:bottom w:val="none" w:sz="0" w:space="0" w:color="auto"/>
                        <w:right w:val="none" w:sz="0" w:space="0" w:color="auto"/>
                      </w:divBdr>
                    </w:div>
                    <w:div w:id="1192035450">
                      <w:marLeft w:val="0"/>
                      <w:marRight w:val="0"/>
                      <w:marTop w:val="0"/>
                      <w:marBottom w:val="0"/>
                      <w:divBdr>
                        <w:top w:val="none" w:sz="0" w:space="0" w:color="auto"/>
                        <w:left w:val="none" w:sz="0" w:space="0" w:color="auto"/>
                        <w:bottom w:val="none" w:sz="0" w:space="0" w:color="auto"/>
                        <w:right w:val="none" w:sz="0" w:space="0" w:color="auto"/>
                      </w:divBdr>
                    </w:div>
                    <w:div w:id="1008213420">
                      <w:marLeft w:val="0"/>
                      <w:marRight w:val="0"/>
                      <w:marTop w:val="0"/>
                      <w:marBottom w:val="0"/>
                      <w:divBdr>
                        <w:top w:val="none" w:sz="0" w:space="0" w:color="auto"/>
                        <w:left w:val="none" w:sz="0" w:space="0" w:color="auto"/>
                        <w:bottom w:val="none" w:sz="0" w:space="0" w:color="auto"/>
                        <w:right w:val="none" w:sz="0" w:space="0" w:color="auto"/>
                      </w:divBdr>
                    </w:div>
                    <w:div w:id="238289405">
                      <w:marLeft w:val="0"/>
                      <w:marRight w:val="0"/>
                      <w:marTop w:val="0"/>
                      <w:marBottom w:val="0"/>
                      <w:divBdr>
                        <w:top w:val="none" w:sz="0" w:space="0" w:color="auto"/>
                        <w:left w:val="none" w:sz="0" w:space="0" w:color="auto"/>
                        <w:bottom w:val="none" w:sz="0" w:space="0" w:color="auto"/>
                        <w:right w:val="none" w:sz="0" w:space="0" w:color="auto"/>
                      </w:divBdr>
                      <w:divsChild>
                        <w:div w:id="1014696871">
                          <w:marLeft w:val="0"/>
                          <w:marRight w:val="0"/>
                          <w:marTop w:val="0"/>
                          <w:marBottom w:val="0"/>
                          <w:divBdr>
                            <w:top w:val="none" w:sz="0" w:space="0" w:color="auto"/>
                            <w:left w:val="none" w:sz="0" w:space="0" w:color="auto"/>
                            <w:bottom w:val="single" w:sz="18" w:space="0" w:color="0094F8"/>
                            <w:right w:val="none" w:sz="0" w:space="0" w:color="auto"/>
                          </w:divBdr>
                        </w:div>
                      </w:divsChild>
                    </w:div>
                    <w:div w:id="317152082">
                      <w:marLeft w:val="0"/>
                      <w:marRight w:val="0"/>
                      <w:marTop w:val="0"/>
                      <w:marBottom w:val="0"/>
                      <w:divBdr>
                        <w:top w:val="none" w:sz="0" w:space="0" w:color="auto"/>
                        <w:left w:val="none" w:sz="0" w:space="0" w:color="auto"/>
                        <w:bottom w:val="none" w:sz="0" w:space="0" w:color="auto"/>
                        <w:right w:val="none" w:sz="0" w:space="0" w:color="auto"/>
                      </w:divBdr>
                      <w:divsChild>
                        <w:div w:id="419911990">
                          <w:marLeft w:val="0"/>
                          <w:marRight w:val="0"/>
                          <w:marTop w:val="0"/>
                          <w:marBottom w:val="0"/>
                          <w:divBdr>
                            <w:top w:val="none" w:sz="0" w:space="0" w:color="auto"/>
                            <w:left w:val="none" w:sz="0" w:space="0" w:color="auto"/>
                            <w:bottom w:val="none" w:sz="0" w:space="0" w:color="auto"/>
                            <w:right w:val="none" w:sz="0" w:space="0" w:color="auto"/>
                          </w:divBdr>
                          <w:divsChild>
                            <w:div w:id="1198547495">
                              <w:marLeft w:val="0"/>
                              <w:marRight w:val="0"/>
                              <w:marTop w:val="0"/>
                              <w:marBottom w:val="0"/>
                              <w:divBdr>
                                <w:top w:val="none" w:sz="0" w:space="0" w:color="auto"/>
                                <w:left w:val="none" w:sz="0" w:space="0" w:color="auto"/>
                                <w:bottom w:val="none" w:sz="0" w:space="0" w:color="auto"/>
                                <w:right w:val="none" w:sz="0" w:space="0" w:color="auto"/>
                              </w:divBdr>
                            </w:div>
                          </w:divsChild>
                        </w:div>
                        <w:div w:id="913969711">
                          <w:marLeft w:val="0"/>
                          <w:marRight w:val="0"/>
                          <w:marTop w:val="0"/>
                          <w:marBottom w:val="0"/>
                          <w:divBdr>
                            <w:top w:val="none" w:sz="0" w:space="0" w:color="auto"/>
                            <w:left w:val="none" w:sz="0" w:space="0" w:color="auto"/>
                            <w:bottom w:val="none" w:sz="0" w:space="0" w:color="auto"/>
                            <w:right w:val="none" w:sz="0" w:space="0" w:color="auto"/>
                          </w:divBdr>
                          <w:divsChild>
                            <w:div w:id="461003724">
                              <w:marLeft w:val="0"/>
                              <w:marRight w:val="0"/>
                              <w:marTop w:val="0"/>
                              <w:marBottom w:val="0"/>
                              <w:divBdr>
                                <w:top w:val="none" w:sz="0" w:space="0" w:color="auto"/>
                                <w:left w:val="none" w:sz="0" w:space="0" w:color="auto"/>
                                <w:bottom w:val="none" w:sz="0" w:space="0" w:color="auto"/>
                                <w:right w:val="none" w:sz="0" w:space="0" w:color="auto"/>
                              </w:divBdr>
                            </w:div>
                          </w:divsChild>
                        </w:div>
                        <w:div w:id="450713272">
                          <w:marLeft w:val="0"/>
                          <w:marRight w:val="0"/>
                          <w:marTop w:val="0"/>
                          <w:marBottom w:val="0"/>
                          <w:divBdr>
                            <w:top w:val="none" w:sz="0" w:space="0" w:color="auto"/>
                            <w:left w:val="none" w:sz="0" w:space="0" w:color="auto"/>
                            <w:bottom w:val="none" w:sz="0" w:space="0" w:color="auto"/>
                            <w:right w:val="none" w:sz="0" w:space="0" w:color="auto"/>
                          </w:divBdr>
                          <w:divsChild>
                            <w:div w:id="520752033">
                              <w:marLeft w:val="0"/>
                              <w:marRight w:val="0"/>
                              <w:marTop w:val="0"/>
                              <w:marBottom w:val="0"/>
                              <w:divBdr>
                                <w:top w:val="none" w:sz="0" w:space="0" w:color="auto"/>
                                <w:left w:val="none" w:sz="0" w:space="0" w:color="auto"/>
                                <w:bottom w:val="none" w:sz="0" w:space="0" w:color="auto"/>
                                <w:right w:val="none" w:sz="0" w:space="0" w:color="auto"/>
                              </w:divBdr>
                            </w:div>
                          </w:divsChild>
                        </w:div>
                        <w:div w:id="756286708">
                          <w:marLeft w:val="0"/>
                          <w:marRight w:val="0"/>
                          <w:marTop w:val="0"/>
                          <w:marBottom w:val="0"/>
                          <w:divBdr>
                            <w:top w:val="none" w:sz="0" w:space="0" w:color="auto"/>
                            <w:left w:val="none" w:sz="0" w:space="0" w:color="auto"/>
                            <w:bottom w:val="none" w:sz="0" w:space="0" w:color="auto"/>
                            <w:right w:val="none" w:sz="0" w:space="0" w:color="auto"/>
                          </w:divBdr>
                          <w:divsChild>
                            <w:div w:id="69428602">
                              <w:marLeft w:val="0"/>
                              <w:marRight w:val="0"/>
                              <w:marTop w:val="0"/>
                              <w:marBottom w:val="0"/>
                              <w:divBdr>
                                <w:top w:val="none" w:sz="0" w:space="0" w:color="auto"/>
                                <w:left w:val="none" w:sz="0" w:space="0" w:color="auto"/>
                                <w:bottom w:val="none" w:sz="0" w:space="0" w:color="auto"/>
                                <w:right w:val="none" w:sz="0" w:space="0" w:color="auto"/>
                              </w:divBdr>
                            </w:div>
                          </w:divsChild>
                        </w:div>
                        <w:div w:id="319313465">
                          <w:marLeft w:val="0"/>
                          <w:marRight w:val="0"/>
                          <w:marTop w:val="0"/>
                          <w:marBottom w:val="0"/>
                          <w:divBdr>
                            <w:top w:val="none" w:sz="0" w:space="0" w:color="auto"/>
                            <w:left w:val="none" w:sz="0" w:space="0" w:color="auto"/>
                            <w:bottom w:val="none" w:sz="0" w:space="0" w:color="auto"/>
                            <w:right w:val="none" w:sz="0" w:space="0" w:color="auto"/>
                          </w:divBdr>
                          <w:divsChild>
                            <w:div w:id="64496533">
                              <w:marLeft w:val="0"/>
                              <w:marRight w:val="0"/>
                              <w:marTop w:val="0"/>
                              <w:marBottom w:val="0"/>
                              <w:divBdr>
                                <w:top w:val="none" w:sz="0" w:space="0" w:color="auto"/>
                                <w:left w:val="none" w:sz="0" w:space="0" w:color="auto"/>
                                <w:bottom w:val="none" w:sz="0" w:space="0" w:color="auto"/>
                                <w:right w:val="none" w:sz="0" w:space="0" w:color="auto"/>
                              </w:divBdr>
                            </w:div>
                          </w:divsChild>
                        </w:div>
                        <w:div w:id="2143888502">
                          <w:marLeft w:val="0"/>
                          <w:marRight w:val="0"/>
                          <w:marTop w:val="0"/>
                          <w:marBottom w:val="0"/>
                          <w:divBdr>
                            <w:top w:val="none" w:sz="0" w:space="0" w:color="auto"/>
                            <w:left w:val="none" w:sz="0" w:space="0" w:color="auto"/>
                            <w:bottom w:val="none" w:sz="0" w:space="0" w:color="auto"/>
                            <w:right w:val="none" w:sz="0" w:space="0" w:color="auto"/>
                          </w:divBdr>
                          <w:divsChild>
                            <w:div w:id="15579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515784">
          <w:marLeft w:val="0"/>
          <w:marRight w:val="0"/>
          <w:marTop w:val="0"/>
          <w:marBottom w:val="0"/>
          <w:divBdr>
            <w:top w:val="none" w:sz="0" w:space="0" w:color="auto"/>
            <w:left w:val="none" w:sz="0" w:space="0" w:color="auto"/>
            <w:bottom w:val="none" w:sz="0" w:space="0" w:color="auto"/>
            <w:right w:val="none" w:sz="0" w:space="0" w:color="auto"/>
          </w:divBdr>
          <w:divsChild>
            <w:div w:id="1644311616">
              <w:marLeft w:val="0"/>
              <w:marRight w:val="0"/>
              <w:marTop w:val="0"/>
              <w:marBottom w:val="0"/>
              <w:divBdr>
                <w:top w:val="single" w:sz="2" w:space="0" w:color="DBDBDB"/>
                <w:left w:val="single" w:sz="2" w:space="0" w:color="DBDBDB"/>
                <w:bottom w:val="single" w:sz="2" w:space="0" w:color="DBDBDB"/>
                <w:right w:val="single" w:sz="2" w:space="0" w:color="DBDBDB"/>
              </w:divBdr>
              <w:divsChild>
                <w:div w:id="1906211896">
                  <w:marLeft w:val="0"/>
                  <w:marRight w:val="0"/>
                  <w:marTop w:val="0"/>
                  <w:marBottom w:val="0"/>
                  <w:divBdr>
                    <w:top w:val="single" w:sz="2" w:space="8" w:color="DBDBDB"/>
                    <w:left w:val="single" w:sz="2" w:space="0" w:color="DBDBDB"/>
                    <w:bottom w:val="single" w:sz="2" w:space="0" w:color="DBDBDB"/>
                    <w:right w:val="single" w:sz="2" w:space="0" w:color="DBDBDB"/>
                  </w:divBdr>
                </w:div>
                <w:div w:id="1580559617">
                  <w:marLeft w:val="0"/>
                  <w:marRight w:val="0"/>
                  <w:marTop w:val="0"/>
                  <w:marBottom w:val="0"/>
                  <w:divBdr>
                    <w:top w:val="single" w:sz="6" w:space="0" w:color="DBDBDB"/>
                    <w:left w:val="single" w:sz="2" w:space="0" w:color="DBDBDB"/>
                    <w:bottom w:val="single" w:sz="2" w:space="0" w:color="DBDBDB"/>
                    <w:right w:val="single" w:sz="2" w:space="0" w:color="DBDBDB"/>
                  </w:divBdr>
                </w:div>
                <w:div w:id="619607041">
                  <w:marLeft w:val="0"/>
                  <w:marRight w:val="0"/>
                  <w:marTop w:val="0"/>
                  <w:marBottom w:val="0"/>
                  <w:divBdr>
                    <w:top w:val="single" w:sz="6" w:space="0" w:color="DBDBDB"/>
                    <w:left w:val="single" w:sz="2" w:space="0" w:color="DBDBDB"/>
                    <w:bottom w:val="single" w:sz="2" w:space="0" w:color="DBDBDB"/>
                    <w:right w:val="single" w:sz="2" w:space="0" w:color="DBDBD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PC-THAO</dc:creator>
  <cp:keywords/>
  <dc:description/>
  <cp:lastModifiedBy>PC-THAO</cp:lastModifiedBy>
  <cp:revision>1</cp:revision>
  <dcterms:created xsi:type="dcterms:W3CDTF">2021-10-09T03:19:00Z</dcterms:created>
  <dcterms:modified xsi:type="dcterms:W3CDTF">2021-10-09T03:30:00Z</dcterms:modified>
</cp:coreProperties>
</file>